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B1682" w14:textId="77777777"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14:paraId="4E3B6BDE" w14:textId="77777777"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7A1254">
        <w:rPr>
          <w:rFonts w:cs="Calibri"/>
          <w:b/>
          <w:sz w:val="36"/>
          <w:szCs w:val="28"/>
          <w:u w:val="single"/>
        </w:rPr>
        <w:t>2</w:t>
      </w:r>
    </w:p>
    <w:p w14:paraId="58A5FA30" w14:textId="77777777"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14:paraId="727BFBC5" w14:textId="77777777" w:rsidR="007A1254" w:rsidRPr="000B2108" w:rsidRDefault="007A1254" w:rsidP="007A1254">
      <w:pPr>
        <w:pStyle w:val="Odstavecseseznamem"/>
        <w:numPr>
          <w:ilvl w:val="0"/>
          <w:numId w:val="28"/>
        </w:numPr>
        <w:rPr>
          <w:rFonts w:cs="Calibri"/>
          <w:b/>
          <w:iCs/>
          <w:u w:val="single"/>
        </w:rPr>
      </w:pPr>
      <w:r w:rsidRPr="000B2108">
        <w:rPr>
          <w:rFonts w:cs="Calibri"/>
          <w:b/>
          <w:bCs/>
          <w:caps/>
          <w:u w:val="single"/>
        </w:rPr>
        <w:t>automat pro přípravu vzorků na Maldi-tof – 1 kus</w:t>
      </w:r>
    </w:p>
    <w:p w14:paraId="1976A9D5" w14:textId="77777777" w:rsidR="007A1254" w:rsidRPr="004E1B74" w:rsidRDefault="007A1254" w:rsidP="007A1254">
      <w:pPr>
        <w:rPr>
          <w:rFonts w:eastAsia="Times New Roman" w:cs="Calibri"/>
          <w:b/>
          <w:color w:val="000000"/>
          <w:lang w:eastAsia="cs-CZ"/>
        </w:rPr>
      </w:pPr>
      <w:r w:rsidRPr="002F55F8">
        <w:rPr>
          <w:rFonts w:cs="Calibri"/>
          <w:b/>
          <w:u w:val="single"/>
        </w:rPr>
        <w:t>Celková maximální cena za ks vč. DPH:</w:t>
      </w:r>
      <w:r>
        <w:rPr>
          <w:rFonts w:cs="Calibri"/>
        </w:rPr>
        <w:t xml:space="preserve"> </w:t>
      </w:r>
      <w:r w:rsidRPr="00512B0F">
        <w:rPr>
          <w:rFonts w:cs="Calibri"/>
          <w:b/>
        </w:rPr>
        <w:t>5 203 124,17 Kč</w:t>
      </w:r>
    </w:p>
    <w:p w14:paraId="785E0E31" w14:textId="77777777" w:rsidR="007A1254" w:rsidRDefault="007A1254" w:rsidP="007A1254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14:paraId="4B536862" w14:textId="77777777" w:rsidR="007A1254" w:rsidRPr="00027734" w:rsidRDefault="007A1254" w:rsidP="007A1254">
      <w:pPr>
        <w:pStyle w:val="Bezmezer"/>
      </w:pPr>
      <w:r>
        <w:t>Inteligentní robot pro standardizaci a automatizaci náběru a depozici kolonií, připravovaných pro analýzu na hmotnostním spektrometru MALDI-TOF.</w:t>
      </w:r>
    </w:p>
    <w:p w14:paraId="59D857BC" w14:textId="77777777" w:rsidR="007A1254" w:rsidRPr="00512B0F" w:rsidRDefault="007A1254" w:rsidP="007A1254">
      <w:pPr>
        <w:spacing w:after="0" w:line="240" w:lineRule="auto"/>
        <w:rPr>
          <w:rFonts w:eastAsia="Times New Roman"/>
        </w:rPr>
      </w:pPr>
      <w:r w:rsidRPr="00512B0F">
        <w:rPr>
          <w:rFonts w:eastAsia="Times New Roman"/>
        </w:rPr>
        <w:t>Systém významné sníží nároky na provádění rutinních manuálních činností a č</w:t>
      </w:r>
      <w:r>
        <w:rPr>
          <w:rFonts w:eastAsia="Times New Roman"/>
        </w:rPr>
        <w:t>asová úspora práce v laboratoři</w:t>
      </w:r>
      <w:r w:rsidRPr="00512B0F">
        <w:rPr>
          <w:rFonts w:eastAsia="Times New Roman"/>
        </w:rPr>
        <w:t xml:space="preserve"> přinese snížení spotřebního materiálu</w:t>
      </w:r>
      <w:r>
        <w:rPr>
          <w:rFonts w:eastAsia="Times New Roman"/>
        </w:rPr>
        <w:t>:</w:t>
      </w:r>
    </w:p>
    <w:p w14:paraId="5BAAA2DC" w14:textId="77777777" w:rsidR="007A1254" w:rsidRPr="00512B0F" w:rsidRDefault="007A1254" w:rsidP="007A1254">
      <w:pPr>
        <w:numPr>
          <w:ilvl w:val="0"/>
          <w:numId w:val="21"/>
        </w:numPr>
        <w:spacing w:after="0" w:line="240" w:lineRule="auto"/>
        <w:rPr>
          <w:rFonts w:eastAsia="Times New Roman"/>
        </w:rPr>
      </w:pPr>
      <w:r w:rsidRPr="00512B0F">
        <w:rPr>
          <w:rFonts w:eastAsia="Times New Roman"/>
        </w:rPr>
        <w:t>Standardizace a automatizace přenosu kolonií a homogenizace kapalin na MALDI destičku s terčíky – eliminace lidského faktoru (snížení rizika manuálních chyb)</w:t>
      </w:r>
    </w:p>
    <w:p w14:paraId="3C36AA6A" w14:textId="77777777" w:rsidR="007A1254" w:rsidRPr="00512B0F" w:rsidRDefault="007A1254" w:rsidP="007A1254">
      <w:pPr>
        <w:numPr>
          <w:ilvl w:val="0"/>
          <w:numId w:val="21"/>
        </w:numPr>
        <w:spacing w:after="0" w:line="240" w:lineRule="auto"/>
        <w:rPr>
          <w:rFonts w:eastAsia="Times New Roman"/>
        </w:rPr>
      </w:pPr>
      <w:r w:rsidRPr="00512B0F">
        <w:rPr>
          <w:rFonts w:eastAsia="Times New Roman"/>
        </w:rPr>
        <w:t>Zvýšení efektivity procesu bakteriální identifikace (skóre</w:t>
      </w:r>
      <w:r w:rsidRPr="00FA50AB">
        <w:rPr>
          <w:rFonts w:eastAsia="Times New Roman"/>
        </w:rPr>
        <w:t>) MALDI-TOF systému</w:t>
      </w:r>
    </w:p>
    <w:p w14:paraId="18346BD8" w14:textId="77777777" w:rsidR="007A1254" w:rsidRDefault="007A1254" w:rsidP="007A1254">
      <w:pPr>
        <w:spacing w:before="120" w:after="120" w:line="240" w:lineRule="auto"/>
        <w:jc w:val="both"/>
        <w:rPr>
          <w:b/>
          <w:szCs w:val="32"/>
        </w:rPr>
      </w:pPr>
    </w:p>
    <w:p w14:paraId="5F25700A" w14:textId="57C8B122" w:rsidR="00D918D5" w:rsidRPr="00D918D5" w:rsidRDefault="007A1254" w:rsidP="009A5B46">
      <w:pPr>
        <w:spacing w:before="120" w:after="120" w:line="240" w:lineRule="auto"/>
        <w:jc w:val="both"/>
        <w:rPr>
          <w:b/>
          <w:szCs w:val="32"/>
        </w:rPr>
      </w:pPr>
      <w:r w:rsidRPr="00B32BF0">
        <w:rPr>
          <w:b/>
          <w:szCs w:val="32"/>
        </w:rPr>
        <w:t>Technická specifikace</w:t>
      </w:r>
      <w:r w:rsidR="00B376DA">
        <w:rPr>
          <w:b/>
          <w:szCs w:val="32"/>
        </w:rPr>
        <w:t xml:space="preserve"> </w:t>
      </w:r>
      <w:bookmarkStart w:id="0" w:name="_GoBack"/>
      <w:bookmarkEnd w:id="0"/>
      <w:r w:rsidR="009A5B46">
        <w:rPr>
          <w:b/>
          <w:szCs w:val="32"/>
        </w:rPr>
        <w:t>(splnění je povinné):</w:t>
      </w:r>
    </w:p>
    <w:tbl>
      <w:tblPr>
        <w:tblW w:w="933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5"/>
        <w:gridCol w:w="6804"/>
        <w:gridCol w:w="1337"/>
      </w:tblGrid>
      <w:tr w:rsidR="007A1254" w:rsidRPr="0077026B" w14:paraId="7191BB81" w14:textId="77777777" w:rsidTr="003F4E28">
        <w:trPr>
          <w:trHeight w:val="849"/>
          <w:tblHeader/>
          <w:jc w:val="center"/>
        </w:trPr>
        <w:tc>
          <w:tcPr>
            <w:tcW w:w="1195" w:type="dxa"/>
            <w:shd w:val="clear" w:color="auto" w:fill="DEEAF6" w:themeFill="accent1" w:themeFillTint="33"/>
            <w:vAlign w:val="center"/>
          </w:tcPr>
          <w:p w14:paraId="33CA4AC3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804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14:paraId="72A2D941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6C757837" w14:textId="468E7A82" w:rsidR="007A1254" w:rsidRPr="004E1B74" w:rsidRDefault="00016FFF" w:rsidP="003F4E28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7A1254" w:rsidRPr="0077026B" w14:paraId="04DB2EAD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7ED348DC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0A9F09A6" w14:textId="77777777" w:rsidR="007A1254" w:rsidRPr="00512B0F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 xml:space="preserve">Použitelná velikost Petriho misek do průměru až 90 mm, destiček pro depozici až 90x130 mm (kompatibilita destiček různých </w:t>
            </w:r>
            <w:r w:rsidRPr="00AA4417">
              <w:t>výrobců např. Bruker, Shimadzu, Biomerieux)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1241E42C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3C2C3FF1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679A4949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24FA5654" w14:textId="77777777" w:rsidR="007A1254" w:rsidRPr="004E1B74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Možnost automatického nebo manuálního výběru kolonií (možnost předvolby podle velikosti nebo barvy)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32CEA211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6A155698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089DCB42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288B5A20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both"/>
              <w:rPr>
                <w:szCs w:val="32"/>
              </w:rPr>
            </w:pPr>
            <w:r w:rsidRPr="00FA50AB">
              <w:t>Regulovatelné vyhřívání MALDI destiček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050D4B7B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40E98138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4FA7E5CD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7727C87B" w14:textId="77777777" w:rsidR="007A1254" w:rsidRPr="005B2A48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Vysoce přesná lineární pumpa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4C42FCCF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092EBD17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590F0A06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3100695D" w14:textId="77777777" w:rsidR="007A1254" w:rsidRPr="004E1B74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Výměnné přenosové jehly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77D6DED0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4E578A13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6118C1A4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0DC9A9D1" w14:textId="77777777" w:rsidR="007A1254" w:rsidRPr="004E1B74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Automatická sterilizace přenosových jehel po každém jednotlivém přenesení (mechanismus pro kontrolu čistoty jehel)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0C84665C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6585FD69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0F58CCA7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5CAFDCA9" w14:textId="77777777" w:rsidR="007A1254" w:rsidRPr="004E1B74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Nezávislé dávkování kyseliny mravenčí a MALDI matrice (kyselina skořicová)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61B12FDC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28434F4C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605793F6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1AD43703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both"/>
              <w:rPr>
                <w:szCs w:val="32"/>
              </w:rPr>
            </w:pPr>
            <w:r w:rsidRPr="00FA50AB">
              <w:t>Kompletní samočistící proces depozičního systému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5A4F1E1E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34727E8C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3945EDC0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4ABEC21B" w14:textId="77777777" w:rsidR="007A1254" w:rsidRPr="004E1B74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Možnost vizuální kontroly přípravy vzorků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13295A1B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382C129C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276D984D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32789AD7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Dostatečné homogenní osvětlení misky a operačního prostoru s dlouhou živostností (LED technologie)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57D8EDEA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0B357D8E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0DD2B408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675143B6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Obrazový snímač s vysokým rozlišením min. 5 Mpx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339F8EC9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41E61E12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1E1E5D78" w14:textId="77777777" w:rsidR="007A125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0DF496DE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 xml:space="preserve">Možnost rozšíření o SW </w:t>
            </w:r>
            <w:r w:rsidR="000F2459">
              <w:t xml:space="preserve">pro </w:t>
            </w:r>
            <w:r w:rsidRPr="00FA50AB">
              <w:t>měření zón inhibice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7B4C870E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0F2459" w:rsidRPr="0077026B" w14:paraId="7DEBE17B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341C674A" w14:textId="77777777" w:rsidR="000F2459" w:rsidRDefault="000F2459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40B3580D" w14:textId="77777777" w:rsidR="000F2459" w:rsidRPr="00FA50AB" w:rsidRDefault="000F2459" w:rsidP="003F4E28">
            <w:pPr>
              <w:spacing w:before="100" w:beforeAutospacing="1" w:after="100" w:afterAutospacing="1" w:line="240" w:lineRule="auto"/>
            </w:pPr>
            <w:r>
              <w:t xml:space="preserve">SW </w:t>
            </w:r>
            <w:r w:rsidRPr="00FA50AB">
              <w:t>modul pro počítání kolonií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3B45C037" w14:textId="77777777" w:rsidR="000F2459" w:rsidRPr="004E1B74" w:rsidRDefault="000F2459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2A47EFA3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5D363447" w14:textId="77777777" w:rsidR="007A1254" w:rsidRDefault="000F2459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038066BB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Možnost retrospektivní analýzy (fotodokumentace)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6FF1CCBA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58A98BC5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24C101A1" w14:textId="77777777" w:rsidR="007A1254" w:rsidRDefault="000F2459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1B6846EC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Integrovaná i ruční čtečka čárových kódů (identifikace destiček a misek)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0A757F83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23DB6DA0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7B63F3D5" w14:textId="77777777" w:rsidR="007A1254" w:rsidRDefault="000F2459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448E2877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Pracovní stanice s odpovídajícím hardwarovým i softwarovým vybavením (</w:t>
            </w:r>
            <w:r w:rsidRPr="00AA4417">
              <w:t>OS Windows,</w:t>
            </w:r>
            <w:r w:rsidRPr="00FA50AB">
              <w:t xml:space="preserve"> display s úhlopříčkou min. 21“)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1CB34143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E7540" w:rsidRPr="0077026B" w14:paraId="0246B3F3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34095523" w14:textId="77777777" w:rsidR="007E7540" w:rsidRDefault="007E7540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17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6513FA87" w14:textId="77777777" w:rsidR="007E7540" w:rsidRPr="00FA50AB" w:rsidRDefault="007E7540" w:rsidP="003F4E28">
            <w:pPr>
              <w:spacing w:before="100" w:beforeAutospacing="1" w:after="100" w:afterAutospacing="1" w:line="240" w:lineRule="auto"/>
            </w:pPr>
            <w:r>
              <w:t>Automatický  zásobník na 100 Petriho misek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4A7EEC94" w14:textId="77777777" w:rsidR="007E7540" w:rsidRPr="004E1B74" w:rsidRDefault="007E7540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57D2E14A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6D721E02" w14:textId="77777777" w:rsidR="007A1254" w:rsidRDefault="007E7540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lastRenderedPageBreak/>
              <w:t>18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4DF61D6D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Napojení na LIS</w:t>
            </w:r>
            <w:r>
              <w:t xml:space="preserve">, </w:t>
            </w:r>
            <w:r w:rsidRPr="00455B95">
              <w:rPr>
                <w:rFonts w:eastAsia="Cambria" w:cs="Calibri"/>
              </w:rPr>
              <w:t>možnost připojení na NIS/PACS včetně odesílání dat do těchto SW v kompatibilním formátu (DASTA, HL</w:t>
            </w:r>
            <w:r>
              <w:rPr>
                <w:rFonts w:eastAsia="Cambria" w:cs="Calibri"/>
              </w:rPr>
              <w:t>7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75D3C253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  <w:tr w:rsidR="007A1254" w:rsidRPr="0077026B" w14:paraId="154314C1" w14:textId="77777777" w:rsidTr="003F4E28">
        <w:trPr>
          <w:jc w:val="center"/>
        </w:trPr>
        <w:tc>
          <w:tcPr>
            <w:tcW w:w="1195" w:type="dxa"/>
            <w:shd w:val="clear" w:color="auto" w:fill="FFFFFF"/>
            <w:vAlign w:val="center"/>
          </w:tcPr>
          <w:p w14:paraId="5019A687" w14:textId="77777777" w:rsidR="007A1254" w:rsidRDefault="007E7540" w:rsidP="003F4E28">
            <w:pPr>
              <w:spacing w:before="100" w:beforeAutospacing="1" w:after="100" w:afterAutospacing="1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19</w:t>
            </w:r>
          </w:p>
        </w:tc>
        <w:tc>
          <w:tcPr>
            <w:tcW w:w="6804" w:type="dxa"/>
            <w:shd w:val="clear" w:color="auto" w:fill="FFFFFF"/>
            <w:tcMar>
              <w:left w:w="103" w:type="dxa"/>
            </w:tcMar>
            <w:vAlign w:val="center"/>
          </w:tcPr>
          <w:p w14:paraId="0316704C" w14:textId="77777777" w:rsidR="007A1254" w:rsidRPr="00FA50AB" w:rsidRDefault="007A1254" w:rsidP="003F4E28">
            <w:pPr>
              <w:spacing w:before="100" w:beforeAutospacing="1" w:after="100" w:afterAutospacing="1" w:line="240" w:lineRule="auto"/>
            </w:pPr>
            <w:r w:rsidRPr="00FA50AB">
              <w:t>Napájení: 230 V/50 Hz</w:t>
            </w:r>
          </w:p>
        </w:tc>
        <w:tc>
          <w:tcPr>
            <w:tcW w:w="1337" w:type="dxa"/>
            <w:shd w:val="clear" w:color="auto" w:fill="FFF2CC" w:themeFill="accent4" w:themeFillTint="33"/>
            <w:vAlign w:val="center"/>
          </w:tcPr>
          <w:p w14:paraId="0EDED2A1" w14:textId="77777777" w:rsidR="007A1254" w:rsidRPr="004E1B74" w:rsidRDefault="007A1254" w:rsidP="003F4E28">
            <w:pPr>
              <w:spacing w:before="100" w:beforeAutospacing="1" w:after="100" w:afterAutospacing="1" w:line="240" w:lineRule="auto"/>
              <w:jc w:val="center"/>
              <w:rPr>
                <w:b/>
                <w:szCs w:val="32"/>
              </w:rPr>
            </w:pPr>
          </w:p>
        </w:tc>
      </w:tr>
    </w:tbl>
    <w:p w14:paraId="497FE550" w14:textId="77777777" w:rsidR="007A1254" w:rsidRDefault="007A1254" w:rsidP="007A1254">
      <w:pPr>
        <w:spacing w:before="120" w:after="120" w:line="240" w:lineRule="auto"/>
        <w:jc w:val="both"/>
        <w:rPr>
          <w:b/>
          <w:szCs w:val="32"/>
        </w:rPr>
      </w:pPr>
    </w:p>
    <w:p w14:paraId="4A8D068D" w14:textId="77777777" w:rsidR="007A1254" w:rsidRPr="00995891" w:rsidRDefault="007A1254" w:rsidP="007A1254">
      <w:pPr>
        <w:pStyle w:val="Odstavecseseznamem"/>
        <w:autoSpaceDE w:val="0"/>
        <w:autoSpaceDN w:val="0"/>
        <w:adjustRightInd w:val="0"/>
        <w:spacing w:before="120" w:after="120" w:line="240" w:lineRule="auto"/>
        <w:ind w:left="720"/>
        <w:rPr>
          <w:rFonts w:asciiTheme="minorHAnsi" w:hAnsiTheme="minorHAnsi" w:cs="ArialMT"/>
        </w:rPr>
      </w:pPr>
    </w:p>
    <w:p w14:paraId="1F413CEC" w14:textId="77777777" w:rsidR="00A832B2" w:rsidRPr="0004633D" w:rsidRDefault="0004633D" w:rsidP="007A1254">
      <w:pPr>
        <w:pStyle w:val="Odstavecseseznamem"/>
        <w:numPr>
          <w:ilvl w:val="0"/>
          <w:numId w:val="28"/>
        </w:numPr>
        <w:rPr>
          <w:rFonts w:cs="Calibri"/>
          <w:b/>
          <w:iCs/>
          <w:u w:val="single"/>
        </w:rPr>
      </w:pPr>
      <w:r w:rsidRPr="0004633D">
        <w:rPr>
          <w:rFonts w:cs="Calibri"/>
          <w:b/>
          <w:iCs/>
          <w:u w:val="single"/>
        </w:rPr>
        <w:t>HMOTNOSTNÍ SPEKTROMETR MALDI-TOF – 1 KS</w:t>
      </w:r>
    </w:p>
    <w:p w14:paraId="24CADA37" w14:textId="77777777" w:rsidR="00394887" w:rsidRPr="004E1B74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3E1755">
        <w:rPr>
          <w:rFonts w:cs="Calibri"/>
          <w:b/>
          <w:u w:val="single"/>
        </w:rPr>
        <w:t xml:space="preserve">Celková maximální cena </w:t>
      </w:r>
      <w:r w:rsidR="004E1B74" w:rsidRPr="003E1755">
        <w:rPr>
          <w:rFonts w:cs="Calibri"/>
          <w:b/>
          <w:u w:val="single"/>
        </w:rPr>
        <w:t>za ks</w:t>
      </w:r>
      <w:r w:rsidR="009941B7" w:rsidRPr="003E1755">
        <w:rPr>
          <w:rFonts w:cs="Calibri"/>
          <w:b/>
          <w:u w:val="single"/>
        </w:rPr>
        <w:t xml:space="preserve"> </w:t>
      </w:r>
      <w:r w:rsidR="004E1B74" w:rsidRPr="003E1755">
        <w:rPr>
          <w:rFonts w:cs="Calibri"/>
          <w:b/>
          <w:u w:val="single"/>
        </w:rPr>
        <w:t>v</w:t>
      </w:r>
      <w:r w:rsidRPr="003E1755">
        <w:rPr>
          <w:rFonts w:cs="Calibri"/>
          <w:b/>
          <w:u w:val="single"/>
        </w:rPr>
        <w:t>č.</w:t>
      </w:r>
      <w:r w:rsidR="004E1B74" w:rsidRPr="003E1755">
        <w:rPr>
          <w:rFonts w:cs="Calibri"/>
          <w:b/>
          <w:u w:val="single"/>
        </w:rPr>
        <w:t xml:space="preserve"> DPH:</w:t>
      </w:r>
      <w:r w:rsidR="004E1B74">
        <w:rPr>
          <w:rFonts w:cs="Calibri"/>
        </w:rPr>
        <w:t xml:space="preserve"> </w:t>
      </w:r>
      <w:r w:rsidR="0004633D" w:rsidRPr="0004633D">
        <w:rPr>
          <w:rFonts w:cs="Calibri"/>
          <w:b/>
        </w:rPr>
        <w:t>6 027 816,67 Kč</w:t>
      </w:r>
    </w:p>
    <w:p w14:paraId="15223777" w14:textId="77777777"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14:paraId="5CB68EA5" w14:textId="77777777" w:rsidR="00A832B2" w:rsidRDefault="0004633D" w:rsidP="0077026B">
      <w:pPr>
        <w:spacing w:before="120" w:after="0" w:line="240" w:lineRule="auto"/>
        <w:jc w:val="both"/>
        <w:rPr>
          <w:rFonts w:eastAsia="Times New Roman"/>
        </w:rPr>
      </w:pPr>
      <w:r w:rsidRPr="00FA50AB">
        <w:t>Stolní MALDI-TOF hmotnostní spektrometr s kompletním příslušenstvím a programovým vybavením určený pro rychlou automatickou identifikaci patogenních mikroorganismů z klinických izolátů a pozitivních hemokultivačních vzorků (a jiných pozitivních tekutých vzorků</w:t>
      </w:r>
      <w:r w:rsidR="00BF3470">
        <w:t>,</w:t>
      </w:r>
      <w:r w:rsidRPr="00FA50AB">
        <w:t xml:space="preserve"> jako například pozitivní vzorek moče)</w:t>
      </w:r>
      <w:r>
        <w:t>.</w:t>
      </w:r>
    </w:p>
    <w:p w14:paraId="628B358B" w14:textId="61BCE317" w:rsidR="0060477A" w:rsidRPr="0060477A" w:rsidRDefault="00394887" w:rsidP="003E1755">
      <w:pPr>
        <w:spacing w:before="120" w:after="120" w:line="240" w:lineRule="auto"/>
        <w:jc w:val="both"/>
        <w:rPr>
          <w:b/>
          <w:sz w:val="16"/>
          <w:szCs w:val="16"/>
        </w:rPr>
      </w:pPr>
      <w:r w:rsidRPr="00B32BF0">
        <w:rPr>
          <w:b/>
          <w:szCs w:val="32"/>
        </w:rPr>
        <w:t>Technická specifikace</w:t>
      </w:r>
      <w:r w:rsidR="00D861A0">
        <w:rPr>
          <w:b/>
          <w:szCs w:val="32"/>
        </w:rPr>
        <w:t xml:space="preserve"> (splnění je povinné):</w:t>
      </w:r>
    </w:p>
    <w:tbl>
      <w:tblPr>
        <w:tblW w:w="93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7"/>
        <w:gridCol w:w="6663"/>
        <w:gridCol w:w="1490"/>
      </w:tblGrid>
      <w:tr w:rsidR="0062598C" w:rsidRPr="0077026B" w14:paraId="5F878B78" w14:textId="77777777" w:rsidTr="006B11D9">
        <w:trPr>
          <w:tblHeader/>
          <w:jc w:val="center"/>
        </w:trPr>
        <w:tc>
          <w:tcPr>
            <w:tcW w:w="1207" w:type="dxa"/>
            <w:shd w:val="clear" w:color="auto" w:fill="DEEAF6" w:themeFill="accent1" w:themeFillTint="33"/>
            <w:vAlign w:val="center"/>
          </w:tcPr>
          <w:p w14:paraId="1191FB07" w14:textId="77777777" w:rsidR="0062598C" w:rsidRPr="004E1B74" w:rsidRDefault="0062598C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663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14:paraId="2857F3BE" w14:textId="77777777" w:rsidR="0062598C" w:rsidRPr="004E1B74" w:rsidRDefault="0062598C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F64F7E8" w14:textId="73DD4953" w:rsidR="0062598C" w:rsidRPr="004E1B74" w:rsidRDefault="001B40E2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62598C" w:rsidRPr="0077026B" w14:paraId="1796F1EB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6DFE7519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5DF3F9C" w14:textId="77777777" w:rsidR="0062598C" w:rsidRPr="00512B0F" w:rsidRDefault="0062598C" w:rsidP="0004633D">
            <w:pPr>
              <w:spacing w:after="0" w:line="240" w:lineRule="auto"/>
            </w:pPr>
            <w:r w:rsidRPr="00FA50AB">
              <w:t>Zabudovaný laser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0982381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48730434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14CB8723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F0BF71F" w14:textId="77777777" w:rsidR="0062598C" w:rsidRPr="004E1B74" w:rsidRDefault="0062598C" w:rsidP="008006DF">
            <w:pPr>
              <w:spacing w:after="0" w:line="240" w:lineRule="auto"/>
            </w:pPr>
            <w:r>
              <w:t xml:space="preserve">Volitelná frekvence laseru, minimální požadovaný rozsah </w:t>
            </w:r>
            <w:r w:rsidR="009E76B8">
              <w:t>1–200</w:t>
            </w:r>
            <w:r>
              <w:t xml:space="preserve"> Hz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69143CF2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56A08543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7F751521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49B895D0" w14:textId="77777777" w:rsidR="0062598C" w:rsidRPr="0062598C" w:rsidRDefault="0062598C" w:rsidP="008006DF">
            <w:pPr>
              <w:spacing w:after="0" w:line="240" w:lineRule="auto"/>
            </w:pPr>
            <w:r>
              <w:t xml:space="preserve">Garantovaná životnost laseru, minimálně </w:t>
            </w:r>
            <w:r>
              <w:rPr>
                <w:szCs w:val="32"/>
              </w:rPr>
              <w:t>5x10</w:t>
            </w:r>
            <w:r>
              <w:rPr>
                <w:szCs w:val="32"/>
                <w:vertAlign w:val="superscript"/>
              </w:rPr>
              <w:t>8</w:t>
            </w:r>
            <w:r>
              <w:rPr>
                <w:szCs w:val="32"/>
              </w:rPr>
              <w:t xml:space="preserve"> nástřelů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49582C19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3F890340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67252E6F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18734306" w14:textId="77777777" w:rsidR="0062598C" w:rsidRPr="005B2A48" w:rsidRDefault="0062598C" w:rsidP="0004633D">
            <w:pPr>
              <w:spacing w:after="0" w:line="240" w:lineRule="auto"/>
            </w:pPr>
            <w:r w:rsidRPr="00FA50AB">
              <w:t>Automatizované čištění MALDI ionizačního zdroje bez nutnosti manuálního zásahu obsluhy (řízeno SW)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18DF09D6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5CE3F119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064E840C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0D2C7304" w14:textId="77777777" w:rsidR="0062598C" w:rsidRPr="004E1B74" w:rsidRDefault="0062598C" w:rsidP="005B2A48">
            <w:pPr>
              <w:spacing w:after="0" w:line="240" w:lineRule="auto"/>
            </w:pPr>
            <w:r w:rsidRPr="00FA50AB">
              <w:t xml:space="preserve">Doba čištění max. 1 pracovní den, nutná četnost čištění max. 2x/rok (při zachování správné funkčnosti a četnosti identifikace v rozsahu </w:t>
            </w:r>
            <w:r w:rsidR="009E76B8" w:rsidRPr="00FA50AB">
              <w:t>40–70</w:t>
            </w:r>
            <w:r w:rsidRPr="00FA50AB">
              <w:t xml:space="preserve"> vzorků denně)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D450BD5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062A96EE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FA53CB3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71167917" w14:textId="77777777" w:rsidR="0062598C" w:rsidRPr="004E1B74" w:rsidRDefault="0062598C" w:rsidP="004E1B74">
            <w:pPr>
              <w:spacing w:after="0" w:line="240" w:lineRule="auto"/>
            </w:pPr>
            <w:r w:rsidRPr="00FA50AB">
              <w:t>Detektor v lineárním módu o dostatečném rozlišení (2 000 FWHM pro oblast 1-2 kDa; 800FWHM pro oblast 16kDa)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06304DF0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246E4DC2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AECD86B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B373DF0" w14:textId="77777777" w:rsidR="0062598C" w:rsidRPr="004E1B74" w:rsidRDefault="0062598C" w:rsidP="00946031">
            <w:pPr>
              <w:spacing w:after="0" w:line="240" w:lineRule="auto"/>
            </w:pPr>
            <w:r w:rsidRPr="00FA50AB">
              <w:t xml:space="preserve">Přesnost </w:t>
            </w:r>
            <w:r w:rsidR="00946031">
              <w:t xml:space="preserve">lepší než 200 ppm </w:t>
            </w:r>
            <w:r w:rsidRPr="00FA50AB">
              <w:t>s možností</w:t>
            </w:r>
            <w:r>
              <w:t xml:space="preserve"> automatické i externí kalibrace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14FFB73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1AA8D8EA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36A9E35E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2E846976" w14:textId="77777777" w:rsidR="0062598C" w:rsidRPr="0004633D" w:rsidRDefault="0062598C" w:rsidP="0004633D">
            <w:pPr>
              <w:spacing w:after="0" w:line="240" w:lineRule="auto"/>
            </w:pPr>
            <w:r w:rsidRPr="00FA50AB">
              <w:t>Automatické kalibrace (terčík s naneseným standardem)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28CEA551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458C6C0D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5A963D3B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0B7F16D" w14:textId="77777777" w:rsidR="0062598C" w:rsidRPr="004E1B74" w:rsidRDefault="0062598C" w:rsidP="0004633D">
            <w:pPr>
              <w:spacing w:after="0" w:line="240" w:lineRule="auto"/>
            </w:pPr>
            <w:r w:rsidRPr="00FA50AB">
              <w:t>Minimální hlučnost (generování vakua)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3BB5B924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2D8A28E3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3719FD9F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7B23A0DD" w14:textId="77777777" w:rsidR="0062598C" w:rsidRPr="00FA50AB" w:rsidRDefault="0062598C" w:rsidP="0004633D">
            <w:pPr>
              <w:spacing w:after="0" w:line="240" w:lineRule="auto"/>
            </w:pPr>
            <w:r w:rsidRPr="00FA50AB">
              <w:t>Digitální datový systém zabudovaný v ovládací stanici (PC)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20DF31E7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776789D0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84F4842" w14:textId="77777777" w:rsidR="0062598C" w:rsidRPr="004E1B74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0493E3DF" w14:textId="77777777" w:rsidR="0062598C" w:rsidRPr="00FA50AB" w:rsidRDefault="0062598C" w:rsidP="0004633D">
            <w:pPr>
              <w:spacing w:after="0" w:line="240" w:lineRule="auto"/>
            </w:pPr>
            <w:r w:rsidRPr="00FA50AB">
              <w:t>Počet stanovení při použití jednoho terčíku min. 5 tisíc (opakované použití destiček)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389997F6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17049993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5A1EDB69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6CD425E1" w14:textId="77777777" w:rsidR="0062598C" w:rsidRPr="00FA50AB" w:rsidRDefault="0062598C" w:rsidP="005B2A48">
            <w:pPr>
              <w:spacing w:after="0" w:line="240" w:lineRule="auto"/>
            </w:pPr>
            <w:r w:rsidRPr="00FA50AB">
              <w:t>Destičky kompatibilní s robotizací pro automatickou přípravu vzorků na terčíky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21BE27AB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03BE1573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68456B3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3DFED0A4" w14:textId="0017C422" w:rsidR="0062598C" w:rsidRPr="00FA50AB" w:rsidRDefault="0062598C" w:rsidP="00F96A66">
            <w:pPr>
              <w:spacing w:after="0" w:line="240" w:lineRule="auto"/>
            </w:pPr>
            <w:r w:rsidRPr="00FA50AB">
              <w:t xml:space="preserve">Ovládací stanice (PC) s operačním systémem </w:t>
            </w:r>
            <w:r w:rsidR="00F96A66" w:rsidRPr="00AA4417">
              <w:t xml:space="preserve">min. </w:t>
            </w:r>
            <w:r w:rsidRPr="00AA4417">
              <w:t>Windows</w:t>
            </w:r>
            <w:r w:rsidR="00F96A66" w:rsidRPr="00AA4417">
              <w:t xml:space="preserve"> 7 </w:t>
            </w:r>
            <w:r w:rsidR="00946031" w:rsidRPr="00AA4417">
              <w:t xml:space="preserve">Profesional, </w:t>
            </w:r>
            <w:r w:rsidR="009E76B8" w:rsidRPr="00AA4417">
              <w:t>64-bit</w:t>
            </w:r>
            <w:r w:rsidRPr="00FA50AB">
              <w:t xml:space="preserve"> pro správu systému a analýzu dat s dostatečným HW vybavením odpovídající zamýšlenému účelu použití, LCD monitor s úhlopříčkou min. 20“, klávesnice, optická myš, laserová tiskárna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3970595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02CFF212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E499B0B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8CDCCA9" w14:textId="77777777" w:rsidR="0062598C" w:rsidRPr="00FA50AB" w:rsidRDefault="009267EF" w:rsidP="009267EF">
            <w:pPr>
              <w:spacing w:after="0" w:line="240" w:lineRule="auto"/>
            </w:pPr>
            <w:r>
              <w:t>Funkční n</w:t>
            </w:r>
            <w:r w:rsidR="0062598C" w:rsidRPr="00FA50AB">
              <w:t>apojení systému na LIS (včetně SW modulu)</w:t>
            </w:r>
            <w:r w:rsidR="007A1254">
              <w:t xml:space="preserve">,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6A315D2A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1F43AED6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7E865FE5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0419DFB7" w14:textId="77777777" w:rsidR="0062598C" w:rsidRPr="00FA50AB" w:rsidRDefault="0062598C" w:rsidP="0004633D">
            <w:pPr>
              <w:spacing w:after="0" w:line="240" w:lineRule="auto"/>
            </w:pPr>
            <w:r w:rsidRPr="00FA50AB">
              <w:t xml:space="preserve">Možnost vzdálené diagnostiky/správy zařízení (včetně SW modulu)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6FA81BE9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75AEDF53" w14:textId="77777777" w:rsidTr="003E1755">
        <w:trPr>
          <w:jc w:val="center"/>
        </w:trPr>
        <w:tc>
          <w:tcPr>
            <w:tcW w:w="9360" w:type="dxa"/>
            <w:gridSpan w:val="3"/>
            <w:shd w:val="clear" w:color="auto" w:fill="DEEAF6" w:themeFill="accent1" w:themeFillTint="33"/>
            <w:vAlign w:val="center"/>
          </w:tcPr>
          <w:p w14:paraId="0296FE85" w14:textId="77777777" w:rsidR="0062598C" w:rsidRPr="004E1B74" w:rsidRDefault="0062598C" w:rsidP="008006DF">
            <w:pPr>
              <w:spacing w:after="0" w:line="24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Softwarové vybavení – certifikované pro využití v klinické diagnostice</w:t>
            </w:r>
          </w:p>
        </w:tc>
      </w:tr>
      <w:tr w:rsidR="0062598C" w:rsidRPr="0077026B" w14:paraId="4BB4242A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50BA5709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17A9C39F" w14:textId="77777777" w:rsidR="0062598C" w:rsidRPr="00FA50AB" w:rsidRDefault="0062598C" w:rsidP="0004633D">
            <w:pPr>
              <w:spacing w:after="0" w:line="240" w:lineRule="auto"/>
            </w:pPr>
            <w:r w:rsidRPr="00FA50AB">
              <w:t>Jednoduché a přehledné uživatelské rozhraní pro rutinní identifikaci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66C26BF3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0811D35C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58DC45C2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lastRenderedPageBreak/>
              <w:t>17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156D0FE7" w14:textId="77777777" w:rsidR="0062598C" w:rsidRPr="00FA50AB" w:rsidRDefault="0062598C" w:rsidP="0004633D">
            <w:pPr>
              <w:spacing w:after="0" w:line="240" w:lineRule="auto"/>
            </w:pPr>
            <w:r w:rsidRPr="00FA50AB">
              <w:t xml:space="preserve">SW pro taxonomické a epidemiologické studie s využitím zabudovaných statistických </w:t>
            </w:r>
            <w:r w:rsidRPr="00AA4417">
              <w:t>technik (např. Component Analysis, Cluster Analysis, apod.)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1407BE07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3478BB76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EE62878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18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4EAB5856" w14:textId="77777777" w:rsidR="0062598C" w:rsidRPr="00FA50AB" w:rsidRDefault="0062598C" w:rsidP="0004633D">
            <w:pPr>
              <w:spacing w:after="0" w:line="240" w:lineRule="auto"/>
            </w:pPr>
            <w:r w:rsidRPr="00FA50AB">
              <w:t>SW pro správu, vzdálenou diagnostiku a automatické kalibrace zařízení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1E68C5CB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63A14D95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16BC78FC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19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77A0A3A" w14:textId="77777777" w:rsidR="0062598C" w:rsidRPr="00FA50AB" w:rsidRDefault="0062598C" w:rsidP="005B2A48">
            <w:pPr>
              <w:spacing w:after="0" w:line="240" w:lineRule="auto"/>
            </w:pPr>
            <w:r w:rsidRPr="00FA50AB">
              <w:t>SW pro detekci mechanizmů rezistence – přítomnost karbapenemáz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FE73320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372DA63A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3E2A29D1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20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729304D9" w14:textId="77777777" w:rsidR="0062598C" w:rsidRPr="00FA50AB" w:rsidRDefault="0062598C" w:rsidP="0004633D">
            <w:pPr>
              <w:spacing w:after="0" w:line="240" w:lineRule="auto"/>
            </w:pPr>
            <w:r w:rsidRPr="00FA50AB">
              <w:t>SW pro automatické vyhodnocování kvality získávaného spektra v průběhu jeho kumulace a regulaci počtu laserových nástřelů pro zvýšení jeho reálné životnosti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0D2DF571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010480F0" w14:textId="77777777" w:rsidTr="003E1755">
        <w:trPr>
          <w:jc w:val="center"/>
        </w:trPr>
        <w:tc>
          <w:tcPr>
            <w:tcW w:w="9360" w:type="dxa"/>
            <w:gridSpan w:val="3"/>
            <w:shd w:val="clear" w:color="auto" w:fill="DEEAF6" w:themeFill="accent1" w:themeFillTint="33"/>
            <w:vAlign w:val="center"/>
          </w:tcPr>
          <w:p w14:paraId="6D4EBF0E" w14:textId="77777777" w:rsidR="0062598C" w:rsidRPr="004E1B74" w:rsidRDefault="0062598C" w:rsidP="008006DF">
            <w:pPr>
              <w:spacing w:after="0" w:line="24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Referenční databáze</w:t>
            </w:r>
          </w:p>
        </w:tc>
      </w:tr>
      <w:tr w:rsidR="0062598C" w:rsidRPr="0077026B" w14:paraId="01394262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24D32C9D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21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54634A11" w14:textId="77777777" w:rsidR="0062598C" w:rsidRPr="00FA50AB" w:rsidRDefault="0062598C" w:rsidP="005B2A48">
            <w:pPr>
              <w:spacing w:after="0" w:line="240" w:lineRule="auto"/>
            </w:pPr>
            <w:r>
              <w:t>D</w:t>
            </w:r>
            <w:r w:rsidRPr="00FA50AB">
              <w:t>atabáze referenčních spekter mikroorganizmů obsahující všechny podstatné klinicky, environmentálně a hygienou monitorované a relevantní druhy (více než 6 000 spekter)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001D5B03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4681828F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0CB4573D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22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7D837265" w14:textId="77777777" w:rsidR="0062598C" w:rsidRPr="00FA50AB" w:rsidRDefault="0062598C" w:rsidP="005B2A48">
            <w:pPr>
              <w:spacing w:after="0" w:line="240" w:lineRule="auto"/>
            </w:pPr>
            <w:r w:rsidRPr="00FA50AB">
              <w:t>Bezplatný update všech víše uvedených databází minimálně po dobu záruky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36C88ACC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6098F6DE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717A889B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23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04D7884A" w14:textId="77777777" w:rsidR="0062598C" w:rsidRPr="00FA50AB" w:rsidRDefault="0062598C" w:rsidP="008006DF">
            <w:pPr>
              <w:spacing w:after="0" w:line="240" w:lineRule="auto"/>
            </w:pPr>
            <w:r w:rsidRPr="00FA50AB">
              <w:t>Možnost přidávat vlastní spektra – otevřená databáze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5B943A99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2D02E3E3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67438314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24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24088DB4" w14:textId="77777777" w:rsidR="0062598C" w:rsidRPr="00FA50AB" w:rsidRDefault="0062598C" w:rsidP="005B2A48">
            <w:pPr>
              <w:spacing w:after="0" w:line="240" w:lineRule="auto"/>
            </w:pPr>
            <w:r>
              <w:t>Možnost rozšíření o databázi pro mykologii – identifikace kvasinek a plísní (více než 100 druhů různých rodů)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730FA65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36C767E5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62ED4438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25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435F007F" w14:textId="77777777" w:rsidR="0062598C" w:rsidRPr="00FA50AB" w:rsidRDefault="0062598C" w:rsidP="008006DF">
            <w:pPr>
              <w:spacing w:after="0" w:line="240" w:lineRule="auto"/>
            </w:pPr>
            <w:r>
              <w:t>Možnost rozšíření o mykobakteriologickou databázi (více než 90 druhů)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2EA2CE0C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62598C" w:rsidRPr="0077026B" w14:paraId="7FC53C55" w14:textId="77777777" w:rsidTr="006B11D9">
        <w:trPr>
          <w:jc w:val="center"/>
        </w:trPr>
        <w:tc>
          <w:tcPr>
            <w:tcW w:w="1207" w:type="dxa"/>
            <w:shd w:val="clear" w:color="auto" w:fill="FFFFFF"/>
            <w:vAlign w:val="center"/>
          </w:tcPr>
          <w:p w14:paraId="1AE98540" w14:textId="77777777" w:rsidR="0062598C" w:rsidRDefault="0062598C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26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14:paraId="0BA99F8D" w14:textId="77777777" w:rsidR="0062598C" w:rsidRPr="00FA50AB" w:rsidRDefault="0062598C" w:rsidP="005B2A48">
            <w:pPr>
              <w:spacing w:after="0" w:line="240" w:lineRule="auto"/>
            </w:pPr>
            <w:r>
              <w:t>Možnost rozšíření o „vojenskou“ databázi – referenční spektra pro mikroorganizmy, patřící</w:t>
            </w:r>
            <w:r w:rsidRPr="00FA50AB">
              <w:t xml:space="preserve"> do skupiny nebezpečných a rizikových (patogenních) mikroorganizmů a vysoce patogenní mikroorganizmy zahrnuté legislativou ČR do skupiny „Biosafety Level 3“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055A99A7" w14:textId="77777777" w:rsidR="0062598C" w:rsidRPr="004E1B74" w:rsidRDefault="0062598C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14:paraId="049DE89D" w14:textId="77777777" w:rsidR="00B63617" w:rsidRDefault="00B63617" w:rsidP="001B40E2">
      <w:pPr>
        <w:spacing w:after="0" w:line="240" w:lineRule="auto"/>
        <w:jc w:val="both"/>
        <w:rPr>
          <w:b/>
          <w:szCs w:val="32"/>
        </w:rPr>
      </w:pPr>
    </w:p>
    <w:p w14:paraId="52BF3107" w14:textId="3662BA9D" w:rsidR="001B40E2" w:rsidRPr="001B40E2" w:rsidRDefault="001B40E2" w:rsidP="001B40E2">
      <w:pPr>
        <w:spacing w:after="0" w:line="240" w:lineRule="auto"/>
        <w:jc w:val="both"/>
        <w:rPr>
          <w:b/>
          <w:szCs w:val="32"/>
        </w:rPr>
      </w:pPr>
      <w:r w:rsidRPr="001B40E2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p w14:paraId="4CA89093" w14:textId="77777777" w:rsidR="0077026B" w:rsidRDefault="0077026B" w:rsidP="005B2A48">
      <w:pPr>
        <w:spacing w:after="0" w:line="240" w:lineRule="auto"/>
        <w:jc w:val="both"/>
        <w:rPr>
          <w:b/>
          <w:szCs w:val="32"/>
        </w:rPr>
      </w:pPr>
    </w:p>
    <w:p w14:paraId="79BF2F71" w14:textId="77777777" w:rsidR="007A1254" w:rsidRPr="002F55F8" w:rsidRDefault="007A1254" w:rsidP="007A1254">
      <w:pPr>
        <w:pStyle w:val="Bezmezer"/>
        <w:spacing w:before="120" w:after="120"/>
        <w:rPr>
          <w:b/>
        </w:rPr>
      </w:pPr>
      <w:r w:rsidRPr="002F55F8">
        <w:rPr>
          <w:b/>
        </w:rPr>
        <w:t>Další požadavky:</w:t>
      </w:r>
    </w:p>
    <w:p w14:paraId="368BEC4D" w14:textId="77777777" w:rsidR="007A1254" w:rsidRDefault="007A1254" w:rsidP="007A1254">
      <w:pPr>
        <w:pStyle w:val="Bezmezer"/>
        <w:numPr>
          <w:ilvl w:val="0"/>
          <w:numId w:val="27"/>
        </w:numPr>
        <w:spacing w:before="120" w:after="120"/>
      </w:pPr>
      <w:r>
        <w:t>pouze nový nerepasovaný přístroj</w:t>
      </w:r>
    </w:p>
    <w:p w14:paraId="30F50F54" w14:textId="77777777" w:rsidR="007A1254" w:rsidRDefault="007A1254" w:rsidP="007A1254">
      <w:pPr>
        <w:pStyle w:val="Bezmezer"/>
        <w:numPr>
          <w:ilvl w:val="0"/>
          <w:numId w:val="27"/>
        </w:numPr>
        <w:spacing w:before="120" w:after="120"/>
      </w:pPr>
      <w:r>
        <w:t>záruka min. 24 měsíců</w:t>
      </w:r>
    </w:p>
    <w:p w14:paraId="4459DCB0" w14:textId="77777777" w:rsidR="007A1254" w:rsidRDefault="007A1254" w:rsidP="007A1254">
      <w:pPr>
        <w:pStyle w:val="Odstavecseseznamem"/>
        <w:numPr>
          <w:ilvl w:val="0"/>
          <w:numId w:val="26"/>
        </w:numPr>
        <w:spacing w:before="120" w:after="120" w:line="240" w:lineRule="auto"/>
      </w:pPr>
      <w:r>
        <w:t>instalace zařízení na příslušném oddělení</w:t>
      </w:r>
    </w:p>
    <w:p w14:paraId="4674173E" w14:textId="77777777" w:rsidR="007A1254" w:rsidRPr="00425F0D" w:rsidRDefault="007A1254" w:rsidP="007A125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ArialMT"/>
        </w:rPr>
      </w:pPr>
      <w:r>
        <w:rPr>
          <w:rFonts w:asciiTheme="minorHAnsi" w:hAnsiTheme="minorHAnsi" w:cs="ArialMT"/>
        </w:rPr>
        <w:t>společně se zařízením</w:t>
      </w:r>
      <w:r w:rsidRPr="00425F0D">
        <w:rPr>
          <w:rFonts w:asciiTheme="minorHAnsi" w:hAnsiTheme="minorHAnsi" w:cs="ArialMT"/>
        </w:rPr>
        <w:t xml:space="preserve"> dodat návod k použití v českém jazyce a prohlášení o shodě</w:t>
      </w:r>
      <w:r>
        <w:rPr>
          <w:rFonts w:asciiTheme="minorHAnsi" w:hAnsiTheme="minorHAnsi" w:cs="ArialMT"/>
        </w:rPr>
        <w:t xml:space="preserve"> </w:t>
      </w:r>
      <w:r w:rsidRPr="00425F0D">
        <w:rPr>
          <w:rFonts w:asciiTheme="minorHAnsi" w:hAnsiTheme="minorHAnsi" w:cs="ArialMT"/>
        </w:rPr>
        <w:t>v papírové i elektronické verzi</w:t>
      </w:r>
    </w:p>
    <w:p w14:paraId="6EAC6E0D" w14:textId="77777777" w:rsidR="007A1254" w:rsidRPr="00536889" w:rsidRDefault="007A1254" w:rsidP="007A125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ArialMT"/>
        </w:rPr>
      </w:pPr>
      <w:r w:rsidRPr="00425F0D">
        <w:rPr>
          <w:rFonts w:asciiTheme="minorHAnsi" w:hAnsiTheme="minorHAnsi" w:cs="ArialMT"/>
        </w:rPr>
        <w:t>provedení zaškolení obsluhy</w:t>
      </w:r>
      <w:r>
        <w:rPr>
          <w:rFonts w:asciiTheme="minorHAnsi" w:hAnsiTheme="minorHAnsi" w:cs="ArialMT"/>
        </w:rPr>
        <w:t xml:space="preserve"> v českém jazyce</w:t>
      </w:r>
      <w:r w:rsidRPr="00425F0D">
        <w:rPr>
          <w:rFonts w:asciiTheme="minorHAnsi" w:hAnsiTheme="minorHAnsi" w:cs="ArialMT"/>
        </w:rPr>
        <w:t xml:space="preserve"> a učinit o něm zápis, včetně oprávnění výrobce k</w:t>
      </w:r>
      <w:r>
        <w:rPr>
          <w:rFonts w:asciiTheme="minorHAnsi" w:hAnsiTheme="minorHAnsi" w:cs="ArialMT"/>
        </w:rPr>
        <w:t> </w:t>
      </w:r>
      <w:r w:rsidRPr="00425F0D">
        <w:rPr>
          <w:rFonts w:asciiTheme="minorHAnsi" w:hAnsiTheme="minorHAnsi" w:cs="ArialMT"/>
        </w:rPr>
        <w:t>provádění</w:t>
      </w:r>
      <w:r>
        <w:rPr>
          <w:rFonts w:asciiTheme="minorHAnsi" w:hAnsiTheme="minorHAnsi" w:cs="ArialMT"/>
        </w:rPr>
        <w:t xml:space="preserve"> </w:t>
      </w:r>
      <w:r w:rsidRPr="00425F0D">
        <w:rPr>
          <w:rFonts w:asciiTheme="minorHAnsi" w:hAnsiTheme="minorHAnsi" w:cs="ArialMT"/>
        </w:rPr>
        <w:t>školení dalších zamě</w:t>
      </w:r>
      <w:r>
        <w:rPr>
          <w:rFonts w:asciiTheme="minorHAnsi" w:hAnsiTheme="minorHAnsi" w:cs="ArialMT"/>
        </w:rPr>
        <w:t>stnanců Nemocnice Jihlava, p. o.</w:t>
      </w:r>
    </w:p>
    <w:p w14:paraId="6806E254" w14:textId="77777777" w:rsidR="007A1254" w:rsidRDefault="007A1254" w:rsidP="007A1254">
      <w:pPr>
        <w:pStyle w:val="Odstavecseseznamem"/>
        <w:numPr>
          <w:ilvl w:val="0"/>
          <w:numId w:val="26"/>
        </w:numPr>
        <w:spacing w:before="120" w:after="120" w:line="240" w:lineRule="auto"/>
      </w:pPr>
      <w:r>
        <w:t>úvodní kalibrace/validace včetně vystavení příslušných protokolů</w:t>
      </w:r>
    </w:p>
    <w:p w14:paraId="6B25A939" w14:textId="77777777" w:rsidR="007A1254" w:rsidRDefault="007A1254" w:rsidP="007A1254">
      <w:pPr>
        <w:pStyle w:val="Odstavecseseznamem"/>
        <w:numPr>
          <w:ilvl w:val="0"/>
          <w:numId w:val="26"/>
        </w:numPr>
        <w:spacing w:before="120" w:after="120" w:line="240" w:lineRule="auto"/>
      </w:pPr>
      <w:r>
        <w:t>v záruční době bezplatné provádění všech výrobcem požadovaných či doporučených úkonů (pravidelné bezpečnostně technické kontroly, validace, kalibrace, servisní a preventivní prohlídky apod.), včetně veškerého potřebného spotřebního materiálu</w:t>
      </w:r>
    </w:p>
    <w:p w14:paraId="1ED9E173" w14:textId="77777777" w:rsidR="007A1254" w:rsidRPr="00AA4417" w:rsidRDefault="007A1254" w:rsidP="007A1254">
      <w:pPr>
        <w:pStyle w:val="Odstavecseseznamem"/>
        <w:numPr>
          <w:ilvl w:val="0"/>
          <w:numId w:val="26"/>
        </w:numPr>
        <w:spacing w:before="120" w:after="120" w:line="240" w:lineRule="auto"/>
      </w:pPr>
      <w:r w:rsidRPr="00AA4417">
        <w:t>garance pozáručního servisu a dodávky potřebného spotřebního materiálu minimálně po dobu 10 let od instalace zařízení</w:t>
      </w:r>
    </w:p>
    <w:p w14:paraId="27AAC86E" w14:textId="77777777" w:rsidR="007A1254" w:rsidRDefault="007A1254" w:rsidP="007A1254">
      <w:pPr>
        <w:pStyle w:val="Odstavecseseznamem"/>
        <w:numPr>
          <w:ilvl w:val="0"/>
          <w:numId w:val="26"/>
        </w:numPr>
        <w:spacing w:before="120" w:after="120" w:line="240" w:lineRule="auto"/>
      </w:pPr>
      <w:r>
        <w:t>dodání ceníku servisních zásahů včetně ceny výjezdu technika a základních náhradních dílů</w:t>
      </w:r>
    </w:p>
    <w:p w14:paraId="5DD7DAA8" w14:textId="77777777" w:rsidR="007A1254" w:rsidRDefault="007A1254" w:rsidP="007A125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ArialMT"/>
        </w:rPr>
      </w:pPr>
      <w:r w:rsidRPr="00DC7BA0">
        <w:rPr>
          <w:rFonts w:asciiTheme="minorHAnsi" w:hAnsiTheme="minorHAnsi" w:cs="ArialMT"/>
        </w:rPr>
        <w:lastRenderedPageBreak/>
        <w:t>splnění všech ostatních závazných podmínek předepsaných platnou legislativou (zákon č. 268/2014, nařízení vlády č. 336/2004, evropské směrnice 93/42/EEC atd.)</w:t>
      </w:r>
    </w:p>
    <w:p w14:paraId="3CEC4FCD" w14:textId="77777777" w:rsidR="0004633D" w:rsidRDefault="0004633D" w:rsidP="005B2A48">
      <w:pPr>
        <w:spacing w:after="0" w:line="240" w:lineRule="auto"/>
        <w:jc w:val="both"/>
        <w:rPr>
          <w:b/>
          <w:szCs w:val="32"/>
        </w:rPr>
      </w:pPr>
    </w:p>
    <w:sectPr w:rsidR="0004633D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694C7" w14:textId="77777777" w:rsidR="009D162C" w:rsidRDefault="009D162C" w:rsidP="002530D9">
      <w:pPr>
        <w:spacing w:after="0" w:line="240" w:lineRule="auto"/>
      </w:pPr>
      <w:r>
        <w:separator/>
      </w:r>
    </w:p>
  </w:endnote>
  <w:endnote w:type="continuationSeparator" w:id="0">
    <w:p w14:paraId="764DF416" w14:textId="77777777" w:rsidR="009D162C" w:rsidRDefault="009D162C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06ADA" w14:textId="5AE57EEF"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76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EEE9D" w14:textId="77777777" w:rsidR="009D162C" w:rsidRDefault="009D162C" w:rsidP="002530D9">
      <w:pPr>
        <w:spacing w:after="0" w:line="240" w:lineRule="auto"/>
      </w:pPr>
      <w:r>
        <w:separator/>
      </w:r>
    </w:p>
  </w:footnote>
  <w:footnote w:type="continuationSeparator" w:id="0">
    <w:p w14:paraId="70B64976" w14:textId="77777777" w:rsidR="009D162C" w:rsidRDefault="009D162C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BBCF" w14:textId="77777777"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01485380" wp14:editId="4EB807A0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982_"/>
      </v:shape>
    </w:pict>
  </w:numPicBullet>
  <w:numPicBullet w:numPicBulletId="1">
    <w:pict>
      <v:shape id="_x0000_i1029" type="#_x0000_t75" style="width:11.5pt;height:8.5pt" o:bullet="t">
        <v:imagedata r:id="rId2" o:title="BD21299_"/>
      </v:shape>
    </w:pict>
  </w:numPicBullet>
  <w:abstractNum w:abstractNumId="0" w15:restartNumberingAfterBreak="0">
    <w:nsid w:val="05734824"/>
    <w:multiLevelType w:val="hybridMultilevel"/>
    <w:tmpl w:val="44D8722A"/>
    <w:lvl w:ilvl="0" w:tplc="1584CC58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361"/>
    <w:multiLevelType w:val="hybridMultilevel"/>
    <w:tmpl w:val="30CA1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2D3"/>
    <w:multiLevelType w:val="hybridMultilevel"/>
    <w:tmpl w:val="CF300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457BD"/>
    <w:multiLevelType w:val="hybridMultilevel"/>
    <w:tmpl w:val="7D243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53F4D"/>
    <w:multiLevelType w:val="hybridMultilevel"/>
    <w:tmpl w:val="52501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9" w15:restartNumberingAfterBreak="0">
    <w:nsid w:val="5D961B36"/>
    <w:multiLevelType w:val="hybridMultilevel"/>
    <w:tmpl w:val="7BC22266"/>
    <w:lvl w:ilvl="0" w:tplc="68D086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8"/>
  </w:num>
  <w:num w:numId="4">
    <w:abstractNumId w:val="21"/>
  </w:num>
  <w:num w:numId="5">
    <w:abstractNumId w:val="16"/>
  </w:num>
  <w:num w:numId="6">
    <w:abstractNumId w:val="25"/>
  </w:num>
  <w:num w:numId="7">
    <w:abstractNumId w:val="12"/>
  </w:num>
  <w:num w:numId="8">
    <w:abstractNumId w:val="20"/>
  </w:num>
  <w:num w:numId="9">
    <w:abstractNumId w:val="26"/>
  </w:num>
  <w:num w:numId="10">
    <w:abstractNumId w:val="6"/>
  </w:num>
  <w:num w:numId="11">
    <w:abstractNumId w:val="22"/>
  </w:num>
  <w:num w:numId="12">
    <w:abstractNumId w:val="8"/>
  </w:num>
  <w:num w:numId="13">
    <w:abstractNumId w:val="4"/>
  </w:num>
  <w:num w:numId="14">
    <w:abstractNumId w:val="10"/>
  </w:num>
  <w:num w:numId="15">
    <w:abstractNumId w:val="27"/>
  </w:num>
  <w:num w:numId="16">
    <w:abstractNumId w:val="2"/>
  </w:num>
  <w:num w:numId="17">
    <w:abstractNumId w:val="5"/>
  </w:num>
  <w:num w:numId="18">
    <w:abstractNumId w:val="14"/>
  </w:num>
  <w:num w:numId="19">
    <w:abstractNumId w:val="9"/>
  </w:num>
  <w:num w:numId="20">
    <w:abstractNumId w:val="17"/>
  </w:num>
  <w:num w:numId="21">
    <w:abstractNumId w:val="7"/>
  </w:num>
  <w:num w:numId="22">
    <w:abstractNumId w:val="11"/>
  </w:num>
  <w:num w:numId="23">
    <w:abstractNumId w:val="13"/>
  </w:num>
  <w:num w:numId="24">
    <w:abstractNumId w:val="0"/>
  </w:num>
  <w:num w:numId="25">
    <w:abstractNumId w:val="1"/>
  </w:num>
  <w:num w:numId="26">
    <w:abstractNumId w:val="15"/>
  </w:num>
  <w:num w:numId="27">
    <w:abstractNumId w:val="3"/>
  </w:num>
  <w:num w:numId="28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16FFF"/>
    <w:rsid w:val="00020D69"/>
    <w:rsid w:val="00022C19"/>
    <w:rsid w:val="00041F2E"/>
    <w:rsid w:val="0004218C"/>
    <w:rsid w:val="0004633D"/>
    <w:rsid w:val="00053169"/>
    <w:rsid w:val="00057964"/>
    <w:rsid w:val="00060F41"/>
    <w:rsid w:val="0006182D"/>
    <w:rsid w:val="00074DB2"/>
    <w:rsid w:val="00087EBD"/>
    <w:rsid w:val="00090909"/>
    <w:rsid w:val="0009309B"/>
    <w:rsid w:val="000934B2"/>
    <w:rsid w:val="00094379"/>
    <w:rsid w:val="000B2108"/>
    <w:rsid w:val="000D1AE3"/>
    <w:rsid w:val="000E62B2"/>
    <w:rsid w:val="000F03E9"/>
    <w:rsid w:val="000F2459"/>
    <w:rsid w:val="00102F2C"/>
    <w:rsid w:val="00116BA5"/>
    <w:rsid w:val="00120D81"/>
    <w:rsid w:val="001246C6"/>
    <w:rsid w:val="00126509"/>
    <w:rsid w:val="00126FD5"/>
    <w:rsid w:val="00135E69"/>
    <w:rsid w:val="0014606F"/>
    <w:rsid w:val="00162157"/>
    <w:rsid w:val="0016640D"/>
    <w:rsid w:val="00166DA7"/>
    <w:rsid w:val="00186711"/>
    <w:rsid w:val="00195586"/>
    <w:rsid w:val="00196C27"/>
    <w:rsid w:val="001976E2"/>
    <w:rsid w:val="00197C2A"/>
    <w:rsid w:val="001A2101"/>
    <w:rsid w:val="001B40E2"/>
    <w:rsid w:val="001B4A28"/>
    <w:rsid w:val="001B602A"/>
    <w:rsid w:val="001C2A04"/>
    <w:rsid w:val="001C6D58"/>
    <w:rsid w:val="001D2860"/>
    <w:rsid w:val="001D729B"/>
    <w:rsid w:val="001F77A1"/>
    <w:rsid w:val="0021001D"/>
    <w:rsid w:val="002252AD"/>
    <w:rsid w:val="00225624"/>
    <w:rsid w:val="0023422D"/>
    <w:rsid w:val="00245CC6"/>
    <w:rsid w:val="0024675A"/>
    <w:rsid w:val="002530D9"/>
    <w:rsid w:val="00271970"/>
    <w:rsid w:val="00277E09"/>
    <w:rsid w:val="00285E78"/>
    <w:rsid w:val="00290FB4"/>
    <w:rsid w:val="002A507D"/>
    <w:rsid w:val="002A7721"/>
    <w:rsid w:val="002D0C1B"/>
    <w:rsid w:val="002D38CB"/>
    <w:rsid w:val="002D5395"/>
    <w:rsid w:val="002E3318"/>
    <w:rsid w:val="002E69A6"/>
    <w:rsid w:val="002F6135"/>
    <w:rsid w:val="00306EAF"/>
    <w:rsid w:val="00316F09"/>
    <w:rsid w:val="003240DA"/>
    <w:rsid w:val="003372C7"/>
    <w:rsid w:val="00341F25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B4723"/>
    <w:rsid w:val="003D0DAB"/>
    <w:rsid w:val="003D5A31"/>
    <w:rsid w:val="003E1755"/>
    <w:rsid w:val="003E6927"/>
    <w:rsid w:val="00401867"/>
    <w:rsid w:val="00417EF6"/>
    <w:rsid w:val="00431BC4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10B8"/>
    <w:rsid w:val="004B2314"/>
    <w:rsid w:val="004C1DCD"/>
    <w:rsid w:val="004C3208"/>
    <w:rsid w:val="004C74AC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26FBE"/>
    <w:rsid w:val="0052781E"/>
    <w:rsid w:val="00527B62"/>
    <w:rsid w:val="00543F9F"/>
    <w:rsid w:val="00544C99"/>
    <w:rsid w:val="00545823"/>
    <w:rsid w:val="005605F6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B2A48"/>
    <w:rsid w:val="005B3A65"/>
    <w:rsid w:val="005C1BEC"/>
    <w:rsid w:val="005E05B1"/>
    <w:rsid w:val="005E10F2"/>
    <w:rsid w:val="005E6007"/>
    <w:rsid w:val="005F187E"/>
    <w:rsid w:val="005F6287"/>
    <w:rsid w:val="00600343"/>
    <w:rsid w:val="0060477A"/>
    <w:rsid w:val="00612104"/>
    <w:rsid w:val="00615E94"/>
    <w:rsid w:val="00617F89"/>
    <w:rsid w:val="0062598C"/>
    <w:rsid w:val="00627D27"/>
    <w:rsid w:val="00635447"/>
    <w:rsid w:val="00644749"/>
    <w:rsid w:val="00644F17"/>
    <w:rsid w:val="00646A99"/>
    <w:rsid w:val="006548A3"/>
    <w:rsid w:val="006577BD"/>
    <w:rsid w:val="006634D2"/>
    <w:rsid w:val="00663A8E"/>
    <w:rsid w:val="00666A9D"/>
    <w:rsid w:val="00672BA8"/>
    <w:rsid w:val="00676719"/>
    <w:rsid w:val="00680D9B"/>
    <w:rsid w:val="0068792C"/>
    <w:rsid w:val="006A7CF1"/>
    <w:rsid w:val="006B11D9"/>
    <w:rsid w:val="006B308A"/>
    <w:rsid w:val="006B41A4"/>
    <w:rsid w:val="006B6E20"/>
    <w:rsid w:val="006C3C01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222FE"/>
    <w:rsid w:val="00722358"/>
    <w:rsid w:val="007319FA"/>
    <w:rsid w:val="0074120F"/>
    <w:rsid w:val="0074567B"/>
    <w:rsid w:val="0077026B"/>
    <w:rsid w:val="00784B49"/>
    <w:rsid w:val="007A008D"/>
    <w:rsid w:val="007A1254"/>
    <w:rsid w:val="007B5A5E"/>
    <w:rsid w:val="007E00FD"/>
    <w:rsid w:val="007E1441"/>
    <w:rsid w:val="007E7540"/>
    <w:rsid w:val="007F230F"/>
    <w:rsid w:val="007F5152"/>
    <w:rsid w:val="007F5428"/>
    <w:rsid w:val="007F66B1"/>
    <w:rsid w:val="008006DF"/>
    <w:rsid w:val="008029C7"/>
    <w:rsid w:val="00805126"/>
    <w:rsid w:val="0081082E"/>
    <w:rsid w:val="00821705"/>
    <w:rsid w:val="0083385A"/>
    <w:rsid w:val="0083513E"/>
    <w:rsid w:val="008418B7"/>
    <w:rsid w:val="008454D1"/>
    <w:rsid w:val="0085134D"/>
    <w:rsid w:val="00861D01"/>
    <w:rsid w:val="008807BC"/>
    <w:rsid w:val="00880F41"/>
    <w:rsid w:val="008930FE"/>
    <w:rsid w:val="0089580C"/>
    <w:rsid w:val="008A0434"/>
    <w:rsid w:val="008A0798"/>
    <w:rsid w:val="008C6446"/>
    <w:rsid w:val="008D05E6"/>
    <w:rsid w:val="008D4D0F"/>
    <w:rsid w:val="008E6361"/>
    <w:rsid w:val="008F2B3B"/>
    <w:rsid w:val="008F4F11"/>
    <w:rsid w:val="009049AA"/>
    <w:rsid w:val="0090637A"/>
    <w:rsid w:val="0090656C"/>
    <w:rsid w:val="00926205"/>
    <w:rsid w:val="009267EF"/>
    <w:rsid w:val="00927458"/>
    <w:rsid w:val="00933192"/>
    <w:rsid w:val="00940D9B"/>
    <w:rsid w:val="009414C9"/>
    <w:rsid w:val="00946031"/>
    <w:rsid w:val="00950D9E"/>
    <w:rsid w:val="0095189F"/>
    <w:rsid w:val="00961AB0"/>
    <w:rsid w:val="00971A12"/>
    <w:rsid w:val="00972C86"/>
    <w:rsid w:val="00974481"/>
    <w:rsid w:val="00981E3D"/>
    <w:rsid w:val="00984B3F"/>
    <w:rsid w:val="0098637E"/>
    <w:rsid w:val="00992836"/>
    <w:rsid w:val="009941B7"/>
    <w:rsid w:val="00996576"/>
    <w:rsid w:val="009A0651"/>
    <w:rsid w:val="009A5B46"/>
    <w:rsid w:val="009B3E2B"/>
    <w:rsid w:val="009C74D1"/>
    <w:rsid w:val="009D07C7"/>
    <w:rsid w:val="009D07CB"/>
    <w:rsid w:val="009D0B0F"/>
    <w:rsid w:val="009D162C"/>
    <w:rsid w:val="009E76B8"/>
    <w:rsid w:val="009F2BA3"/>
    <w:rsid w:val="00A04FBD"/>
    <w:rsid w:val="00A1267B"/>
    <w:rsid w:val="00A14EF7"/>
    <w:rsid w:val="00A2244E"/>
    <w:rsid w:val="00A264CA"/>
    <w:rsid w:val="00A33117"/>
    <w:rsid w:val="00A429B4"/>
    <w:rsid w:val="00A43987"/>
    <w:rsid w:val="00A50EC6"/>
    <w:rsid w:val="00A52026"/>
    <w:rsid w:val="00A538B0"/>
    <w:rsid w:val="00A61106"/>
    <w:rsid w:val="00A65908"/>
    <w:rsid w:val="00A714B1"/>
    <w:rsid w:val="00A77AE9"/>
    <w:rsid w:val="00A8204F"/>
    <w:rsid w:val="00A832B2"/>
    <w:rsid w:val="00A87BE4"/>
    <w:rsid w:val="00A90A97"/>
    <w:rsid w:val="00AA3860"/>
    <w:rsid w:val="00AA4417"/>
    <w:rsid w:val="00AB3D96"/>
    <w:rsid w:val="00AC2657"/>
    <w:rsid w:val="00AE2C42"/>
    <w:rsid w:val="00AE4C28"/>
    <w:rsid w:val="00AE7FD5"/>
    <w:rsid w:val="00AF0881"/>
    <w:rsid w:val="00AF4CCD"/>
    <w:rsid w:val="00B05D33"/>
    <w:rsid w:val="00B17B3F"/>
    <w:rsid w:val="00B222FF"/>
    <w:rsid w:val="00B23AA6"/>
    <w:rsid w:val="00B2618F"/>
    <w:rsid w:val="00B2766E"/>
    <w:rsid w:val="00B3209F"/>
    <w:rsid w:val="00B32BF0"/>
    <w:rsid w:val="00B376DA"/>
    <w:rsid w:val="00B51CA9"/>
    <w:rsid w:val="00B54504"/>
    <w:rsid w:val="00B55330"/>
    <w:rsid w:val="00B603B3"/>
    <w:rsid w:val="00B60658"/>
    <w:rsid w:val="00B63617"/>
    <w:rsid w:val="00B763DB"/>
    <w:rsid w:val="00B769D6"/>
    <w:rsid w:val="00B80AB9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3470"/>
    <w:rsid w:val="00BF7C23"/>
    <w:rsid w:val="00C0070F"/>
    <w:rsid w:val="00C166D3"/>
    <w:rsid w:val="00C178B4"/>
    <w:rsid w:val="00C27DE6"/>
    <w:rsid w:val="00C37667"/>
    <w:rsid w:val="00C41464"/>
    <w:rsid w:val="00C465EC"/>
    <w:rsid w:val="00C576B9"/>
    <w:rsid w:val="00C70279"/>
    <w:rsid w:val="00C71277"/>
    <w:rsid w:val="00C83FA7"/>
    <w:rsid w:val="00C87361"/>
    <w:rsid w:val="00C8738A"/>
    <w:rsid w:val="00CB1802"/>
    <w:rsid w:val="00CB2580"/>
    <w:rsid w:val="00CD1628"/>
    <w:rsid w:val="00CD2F05"/>
    <w:rsid w:val="00CF5766"/>
    <w:rsid w:val="00D00082"/>
    <w:rsid w:val="00D03FB2"/>
    <w:rsid w:val="00D06339"/>
    <w:rsid w:val="00D2647C"/>
    <w:rsid w:val="00D304BE"/>
    <w:rsid w:val="00D31F46"/>
    <w:rsid w:val="00D33D19"/>
    <w:rsid w:val="00D40161"/>
    <w:rsid w:val="00D40162"/>
    <w:rsid w:val="00D70942"/>
    <w:rsid w:val="00D711AD"/>
    <w:rsid w:val="00D861A0"/>
    <w:rsid w:val="00D918D5"/>
    <w:rsid w:val="00DC1604"/>
    <w:rsid w:val="00DD44D0"/>
    <w:rsid w:val="00DD558E"/>
    <w:rsid w:val="00DD5B07"/>
    <w:rsid w:val="00DE2819"/>
    <w:rsid w:val="00DE2870"/>
    <w:rsid w:val="00DE7928"/>
    <w:rsid w:val="00E00BF3"/>
    <w:rsid w:val="00E02924"/>
    <w:rsid w:val="00E02C85"/>
    <w:rsid w:val="00E151CA"/>
    <w:rsid w:val="00E15353"/>
    <w:rsid w:val="00E170DD"/>
    <w:rsid w:val="00E20676"/>
    <w:rsid w:val="00E25F81"/>
    <w:rsid w:val="00E33AC3"/>
    <w:rsid w:val="00E4054C"/>
    <w:rsid w:val="00E53EFA"/>
    <w:rsid w:val="00E6005E"/>
    <w:rsid w:val="00E607C3"/>
    <w:rsid w:val="00E82798"/>
    <w:rsid w:val="00EA0558"/>
    <w:rsid w:val="00EB14D3"/>
    <w:rsid w:val="00EC0B4F"/>
    <w:rsid w:val="00EC0EC1"/>
    <w:rsid w:val="00ED0F92"/>
    <w:rsid w:val="00ED5B83"/>
    <w:rsid w:val="00EE0B95"/>
    <w:rsid w:val="00EF1076"/>
    <w:rsid w:val="00EF250A"/>
    <w:rsid w:val="00F32CFA"/>
    <w:rsid w:val="00F35905"/>
    <w:rsid w:val="00F373CE"/>
    <w:rsid w:val="00F44183"/>
    <w:rsid w:val="00F723B2"/>
    <w:rsid w:val="00F940F6"/>
    <w:rsid w:val="00F95D09"/>
    <w:rsid w:val="00F96A66"/>
    <w:rsid w:val="00F973F4"/>
    <w:rsid w:val="00FA3BDA"/>
    <w:rsid w:val="00FA533F"/>
    <w:rsid w:val="00FB7F52"/>
    <w:rsid w:val="00FC5DD6"/>
    <w:rsid w:val="00FC638B"/>
    <w:rsid w:val="00FD1BB2"/>
    <w:rsid w:val="00FD50C3"/>
    <w:rsid w:val="00FD7FEB"/>
    <w:rsid w:val="00FE2649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6C498"/>
  <w15:docId w15:val="{E10A3A9C-C405-4B72-A9D5-5888B4E5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7A125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0BDE-50FD-45C1-9879-EFA35A63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Radek Meluzin</cp:lastModifiedBy>
  <cp:revision>4</cp:revision>
  <dcterms:created xsi:type="dcterms:W3CDTF">2017-10-10T13:38:00Z</dcterms:created>
  <dcterms:modified xsi:type="dcterms:W3CDTF">2017-11-13T13:58:00Z</dcterms:modified>
</cp:coreProperties>
</file>